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311797">
        <w:rPr>
          <w:rFonts w:ascii="Calibri" w:hAnsi="Calibri"/>
          <w:b/>
          <w:caps/>
          <w:sz w:val="40"/>
          <w:szCs w:val="40"/>
          <w:lang w:val="fr-FR"/>
        </w:rPr>
        <w:t>4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311797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851B0">
        <w:rPr>
          <w:rFonts w:ascii="Sylfaen" w:hAnsi="Sylfaen"/>
          <w:b/>
          <w:sz w:val="24"/>
          <w:szCs w:val="24"/>
          <w:lang w:val="ka-GE"/>
        </w:rPr>
        <w:t>26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11797">
        <w:rPr>
          <w:rFonts w:ascii="Sylfaen" w:hAnsi="Sylfaen"/>
          <w:b/>
          <w:sz w:val="24"/>
          <w:szCs w:val="24"/>
          <w:lang w:val="ka-GE"/>
        </w:rPr>
        <w:t>სექტემბერი,</w:t>
      </w:r>
      <w:r w:rsidR="0093577B">
        <w:rPr>
          <w:rFonts w:ascii="Sylfaen" w:hAnsi="Sylfaen"/>
          <w:b/>
          <w:sz w:val="24"/>
          <w:szCs w:val="24"/>
          <w:lang w:val="ka-GE"/>
        </w:rPr>
        <w:t xml:space="preserve"> 2022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93577B">
        <w:rPr>
          <w:rFonts w:ascii="Sylfaen" w:hAnsi="Sylfaen"/>
          <w:sz w:val="26"/>
          <w:szCs w:val="26"/>
          <w:lang w:val="en-US"/>
        </w:rPr>
        <w:t>2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040855">
        <w:rPr>
          <w:rFonts w:ascii="Sylfaen" w:hAnsi="Sylfaen"/>
          <w:sz w:val="26"/>
          <w:szCs w:val="26"/>
          <w:lang w:val="en-US"/>
        </w:rPr>
        <w:t>27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311797">
        <w:rPr>
          <w:rFonts w:ascii="Sylfaen" w:hAnsi="Sylfaen"/>
          <w:sz w:val="26"/>
          <w:szCs w:val="26"/>
          <w:lang w:val="ka-GE"/>
        </w:rPr>
        <w:t>სექტემბერს</w:t>
      </w:r>
      <w:r w:rsidR="002875C6">
        <w:rPr>
          <w:rFonts w:ascii="Sylfaen" w:hAnsi="Sylfaen"/>
          <w:sz w:val="26"/>
          <w:szCs w:val="26"/>
          <w:lang w:val="ka-GE"/>
        </w:rPr>
        <w:t>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9F6530" w:rsidRDefault="009F6530" w:rsidP="009F6530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lastRenderedPageBreak/>
        <w:t xml:space="preserve">აჭარის ავტონომიური რესპუბლიკის უმაღლესი საბჭოს </w:t>
      </w:r>
    </w:p>
    <w:p w:rsidR="009F6530" w:rsidRDefault="009F6530" w:rsidP="009F6530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2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27 </w:t>
      </w:r>
      <w:r>
        <w:rPr>
          <w:rFonts w:ascii="Sylfaen" w:hAnsi="Sylfaen" w:cs="AcadNusx"/>
          <w:lang w:val="ka-GE"/>
        </w:rPr>
        <w:t xml:space="preserve">სექტემბრის რიგგარეშე პლენარულ სხდომაზე </w:t>
      </w:r>
    </w:p>
    <w:p w:rsidR="009F6530" w:rsidRDefault="009F6530" w:rsidP="009F6530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განსახილველ</w:t>
      </w:r>
      <w:r>
        <w:rPr>
          <w:rFonts w:ascii="Sylfaen" w:hAnsi="Sylfaen" w:cs="AcadNusx"/>
        </w:rPr>
        <w:t>ი</w:t>
      </w:r>
      <w:r>
        <w:rPr>
          <w:rFonts w:ascii="Sylfaen" w:hAnsi="Sylfaen" w:cs="AcadNusx"/>
          <w:lang w:val="ka-GE"/>
        </w:rPr>
        <w:t xml:space="preserve"> საკითხი</w:t>
      </w:r>
    </w:p>
    <w:p w:rsidR="009F6530" w:rsidRDefault="009F6530" w:rsidP="009F6530">
      <w:pPr>
        <w:pStyle w:val="1"/>
        <w:rPr>
          <w:rFonts w:ascii="Sylfaen" w:hAnsi="Sylfaen" w:cs="AcadNusx"/>
          <w:lang w:val="ka-GE"/>
        </w:rPr>
      </w:pPr>
    </w:p>
    <w:p w:rsidR="009F6530" w:rsidRPr="009F6530" w:rsidRDefault="009F6530" w:rsidP="009F6530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sz w:val="22"/>
          <w:lang w:val="ka-GE"/>
        </w:rPr>
      </w:pPr>
    </w:p>
    <w:p w:rsidR="009F6530" w:rsidRPr="009F6530" w:rsidRDefault="009F6530" w:rsidP="009F6530">
      <w:pPr>
        <w:ind w:firstLine="540"/>
        <w:jc w:val="both"/>
        <w:rPr>
          <w:rFonts w:ascii="Sylfaen" w:eastAsia="Sylfaen" w:hAnsi="Sylfaen" w:cs="Sylfaen"/>
          <w:b/>
          <w:sz w:val="22"/>
          <w:lang w:val="ka-GE"/>
        </w:rPr>
      </w:pPr>
      <w:r w:rsidRPr="009F6530">
        <w:rPr>
          <w:rFonts w:ascii="Sylfaen" w:eastAsia="Sylfaen" w:hAnsi="Sylfaen" w:cs="Sylfaen"/>
          <w:b/>
          <w:sz w:val="22"/>
          <w:lang w:val="ka-GE"/>
        </w:rPr>
        <w:t>აჭარის ავტონომიური რესპუბლიკის უმაღლესი საარჩევნო კომისიის წევრის სამ ვაკანტურ თანამდებობაზე წარმოდგენილი კანდიდატურების (ზაალ ზაალიშვილი, სოფიო კახაძე, დავით ფარტენაძე, თამარ ქამადაძე, ციალა შავაძე, სოფიო შაქარიშვილი) ფარული კენჭისყრით არჩევა.</w:t>
      </w:r>
    </w:p>
    <w:p w:rsidR="009F6530" w:rsidRPr="009F6530" w:rsidRDefault="009F6530" w:rsidP="00F21778">
      <w:pPr>
        <w:ind w:left="-284" w:right="141"/>
        <w:rPr>
          <w:rFonts w:ascii="Sylfaen" w:hAnsi="Sylfaen"/>
          <w:b/>
          <w:sz w:val="28"/>
          <w:szCs w:val="26"/>
          <w:lang w:val="ka-GE"/>
        </w:rPr>
      </w:pP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  <w:bookmarkStart w:id="0" w:name="_GoBack"/>
      <w:bookmarkEnd w:id="0"/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4CB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9F6530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445C7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F6530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6530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FC5A-4582-4692-87FD-053C822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76</cp:revision>
  <cp:lastPrinted>2022-06-24T11:29:00Z</cp:lastPrinted>
  <dcterms:created xsi:type="dcterms:W3CDTF">2018-07-20T10:31:00Z</dcterms:created>
  <dcterms:modified xsi:type="dcterms:W3CDTF">2022-09-26T13:48:00Z</dcterms:modified>
</cp:coreProperties>
</file>